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Final Operating Agreement of BlueShifts LLC</w:t>
      </w:r>
    </w:p>
    <w:p>
      <w:r>
        <w:rPr>
          <w:b/>
        </w:rPr>
        <w:t>State of Formation: Florida</w:t>
        <w:br/>
      </w:r>
      <w:r>
        <w:rPr>
          <w:b/>
        </w:rPr>
        <w:t>Entity Type: Multi-Member Limited Liability Company</w:t>
        <w:br/>
      </w:r>
      <w:r>
        <w:rPr>
          <w:b/>
        </w:rPr>
        <w:t>Management Structure: Member-Managed</w:t>
        <w:br/>
      </w:r>
    </w:p>
    <w:p>
      <w:pPr>
        <w:pStyle w:val="Heading2"/>
      </w:pPr>
      <w:r>
        <w:t>Founding Members</w:t>
      </w:r>
    </w:p>
    <w:p>
      <w:r>
        <w:t>1. Pavel Sergeyev — Registered Agent and Founding Partner</w:t>
      </w:r>
    </w:p>
    <w:p>
      <w:r>
        <w:t>2. Slava Virnik — Founding Partner</w:t>
      </w:r>
    </w:p>
    <w:p>
      <w:pPr>
        <w:pStyle w:val="Heading2"/>
      </w:pPr>
      <w:r>
        <w:t>1. Formation</w:t>
      </w:r>
    </w:p>
    <w:p>
      <w:r>
        <w:t>BlueShifts LLC (“Company”) is organized as a Florida limited liability company under the laws of the State of Florida.</w:t>
      </w:r>
    </w:p>
    <w:p>
      <w:pPr>
        <w:pStyle w:val="Heading2"/>
      </w:pPr>
      <w:r>
        <w:t>2. Ownership Interests</w:t>
      </w:r>
    </w:p>
    <w:p>
      <w:r>
        <w:t>The Company shall initially have two founding members: Pavel Sergeyev and Slava Virnik. Each founding member shall hold a fifty percent (50%) ownership interest in the Company.</w:t>
      </w:r>
    </w:p>
    <w:p>
      <w:pPr>
        <w:pStyle w:val="Heading2"/>
      </w:pPr>
      <w:r>
        <w:t>3. Management Structure</w:t>
      </w:r>
    </w:p>
    <w:p>
      <w:r>
        <w:t>The Company shall be member-managed. Both founding members shall actively participate in operation and management of the Company. Both members shall possess equal management authority and equal voting rights.</w:t>
      </w:r>
    </w:p>
    <w:p>
      <w:pPr>
        <w:pStyle w:val="Heading2"/>
      </w:pPr>
      <w:r>
        <w:t>4. Voting and Decision-Making</w:t>
      </w:r>
    </w:p>
    <w:p>
      <w:r>
        <w:t>Major decisions of the Company require unanimous approval of both founding members. Day-to-day and minor operational matters shall be jointly discussed between the members.</w:t>
      </w:r>
    </w:p>
    <w:p>
      <w:pPr>
        <w:pStyle w:val="Heading2"/>
      </w:pPr>
      <w:r>
        <w:t>5. Profit and Loss Allocation</w:t>
      </w:r>
    </w:p>
    <w:p>
      <w:r>
        <w:t>Profits and losses of the Company shall be allocated equally between the founding members on a 50/50 basis unless otherwise unanimously agreed in writing.</w:t>
      </w:r>
    </w:p>
    <w:p>
      <w:pPr>
        <w:pStyle w:val="Heading2"/>
      </w:pPr>
      <w:r>
        <w:t>6. Banking Authority</w:t>
      </w:r>
    </w:p>
    <w:p>
      <w:r>
        <w:t>Both founding partners shall possess equal access to all Company bank accounts, balances, records, and financial statements. Any withdrawal, transfer, or removal of Company funds requires approval of both founding partners.</w:t>
      </w:r>
    </w:p>
    <w:p>
      <w:pPr>
        <w:pStyle w:val="Heading2"/>
      </w:pPr>
      <w:r>
        <w:t>7. Spending Approval Thresholds</w:t>
      </w:r>
    </w:p>
    <w:p>
      <w:r>
        <w:t>Either founding partner may independently approve ordinary Company expenses under $500. Any Company expenditure, obligation, purchase, transfer, or financial commitment exceeding $500 requires approval of both founding partners. No founding partner may intentionally divide transactions to circumvent this requirement.</w:t>
      </w:r>
    </w:p>
    <w:p>
      <w:pPr>
        <w:pStyle w:val="Heading2"/>
      </w:pPr>
      <w:r>
        <w:t>8. Contract Authority</w:t>
      </w:r>
    </w:p>
    <w:p>
      <w:r>
        <w:t>Any Company contract or legally binding agreement requires approval of both founding partners. Either founding partner may authorize the other founding partner to execute or sign a contract on behalf of the Company. Such authorization may be verbal, written, electronic, or otherwise reasonably communicated between the founding partners.</w:t>
      </w:r>
    </w:p>
    <w:p>
      <w:pPr>
        <w:pStyle w:val="Heading2"/>
      </w:pPr>
      <w:r>
        <w:t>9. Borrowing and Debt Authority</w:t>
      </w:r>
    </w:p>
    <w:p>
      <w:r>
        <w:t>Any borrowing, financing, loan, line of credit, debt obligation, guarantee, credit account, or other financial liability entered into on behalf of the Company requires approval of both founding partners. Neither founding partner may unilaterally incur debt or financial obligations on behalf of the Company.</w:t>
      </w:r>
    </w:p>
    <w:p>
      <w:pPr>
        <w:pStyle w:val="Heading2"/>
      </w:pPr>
      <w:r>
        <w:t>10. Taxes and Accounting</w:t>
      </w:r>
    </w:p>
    <w:p>
      <w:r>
        <w:t>Both founding partners share equal responsibility for Company taxes, bookkeeping oversight, accounting supervision, and financial compliance obligations. Financial responsibilities may be delegated to qualified professionals upon approval of both founding partners. Both founding partners shall maintain equal access to Company financial records and tax filings.</w:t>
      </w:r>
    </w:p>
    <w:p>
      <w:pPr>
        <w:pStyle w:val="Heading2"/>
      </w:pPr>
      <w:r>
        <w:t>11. Voluntary Withdrawal</w:t>
      </w:r>
    </w:p>
    <w:p>
      <w:r>
        <w:t>Either founding member may voluntarily withdraw from the Company subject to the procedures contained within this Operating Agreement.</w:t>
      </w:r>
    </w:p>
    <w:p>
      <w:pPr>
        <w:pStyle w:val="Heading2"/>
      </w:pPr>
      <w:r>
        <w:t>12. Withdrawal Valuation Procedure</w:t>
      </w:r>
    </w:p>
    <w:p>
      <w:r>
        <w:t>In the event a founding member voluntarily withdraws, the remaining founding member shall possess the first right of refusal to purchase the withdrawing member’s ownership interest.</w:t>
        <w:br/>
        <w:br/>
        <w:t>The founding members shall first attempt in good faith to mutually agree upon fair market valuation and transfer terms.</w:t>
        <w:br/>
        <w:br/>
        <w:t>If mutual agreement cannot be reached, valuation shall be determined by an independent certified public accountant (CPA), business valuation professional, or qualified independent appraiser mutually selected by the parties.</w:t>
        <w:br/>
        <w:br/>
        <w:t>The valuation process may consider revenues, profitability, liabilities, assets, market conditions, industry standards, historical performance, and formula-based valuation methods.</w:t>
        <w:br/>
        <w:br/>
        <w:t>Any buyout payment obligation may be satisfied through commercially reasonable installment payments unless otherwise unanimously agreed in writing.</w:t>
      </w:r>
    </w:p>
    <w:p>
      <w:pPr>
        <w:pStyle w:val="Heading2"/>
      </w:pPr>
      <w:r>
        <w:t>13. Death of a Founding Member</w:t>
      </w:r>
    </w:p>
    <w:p>
      <w:r>
        <w:t>Upon death of a founding member, that member’s ownership interest shall transfer to the deceased member’s spouse, family, estate, or lawful heirs. The surviving original founding member shall retain operational and managerial control of the Company.</w:t>
      </w:r>
    </w:p>
    <w:p>
      <w:pPr>
        <w:pStyle w:val="Heading2"/>
      </w:pPr>
      <w:r>
        <w:t>14. Incapacity of a Founding Member</w:t>
      </w:r>
    </w:p>
    <w:p>
      <w:r>
        <w:t>In the event a founding partner becomes medically, mentally, or legally incapacitated and unable to reasonably participate in Company operations for a prolonged period of time, the incapacitated partner’s spouse, family, estate, or lawful representative shall inherit or retain the incapacitated partner’s economic ownership interest. The remaining original founding partner shall retain operational and managerial control of the Company.</w:t>
      </w:r>
    </w:p>
    <w:p>
      <w:pPr>
        <w:pStyle w:val="Heading2"/>
      </w:pPr>
      <w:r>
        <w:t>15. Economic Interests and Transfer Restrictions</w:t>
      </w:r>
    </w:p>
    <w:p>
      <w:r>
        <w:t>Transferred ownership interests to spouses, family members, heirs, estates, or third parties shall convey economic rights only unless unanimously admitted as voting members by the original controlling members. Economic interest holders shall not possess management authority, operational authority, or voting rights.</w:t>
      </w:r>
    </w:p>
    <w:p>
      <w:pPr>
        <w:pStyle w:val="Heading2"/>
      </w:pPr>
      <w:r>
        <w:t>16. Third-Party Transfers</w:t>
      </w:r>
    </w:p>
    <w:p>
      <w:r>
        <w:t>The spouse, family, estate, or heirs of a deceased founding member may transfer or sell up to forty-nine percent (49%) ownership interest to third parties. Any such third-party transferee shall receive economic rights only and shall not acquire voting rights, management rights, or operational authority.</w:t>
      </w:r>
    </w:p>
    <w:p>
      <w:pPr>
        <w:pStyle w:val="Heading2"/>
      </w:pPr>
      <w:r>
        <w:t>17. Protected One Percent Interest</w:t>
      </w:r>
    </w:p>
    <w:p>
      <w:r>
        <w:t>At least one percent (1%) ownership interest originating from the deceased founding member shall remain with the deceased member’s spouse, family, estate, or heirs unless transferred or sold exclusively to the surviving original founding member.</w:t>
      </w:r>
    </w:p>
    <w:p>
      <w:pPr>
        <w:pStyle w:val="Heading2"/>
      </w:pPr>
      <w:r>
        <w:t>18. Non-Transferability of Governance Rights</w:t>
      </w:r>
    </w:p>
    <w:p>
      <w:r>
        <w:t>Managerial rights and voting rights are non-transferable. No transferee or assignee automatically becomes a voting member of the Company. Admission of any new voting member requires unanimous written approval of the original controlling members.</w:t>
      </w:r>
    </w:p>
    <w:p>
      <w:pPr>
        <w:pStyle w:val="Heading2"/>
      </w:pPr>
      <w:r>
        <w:t>19. Operational Authority</w:t>
      </w:r>
    </w:p>
    <w:p>
      <w:r>
        <w:t>Operational control and authority of the Company remain exclusively with the original controlling member(s) unless otherwise unanimously agreed in writing.</w:t>
      </w:r>
    </w:p>
    <w:p>
      <w:pPr>
        <w:pStyle w:val="Heading2"/>
      </w:pPr>
      <w:r>
        <w:t>20. Confidentiality</w:t>
      </w:r>
    </w:p>
    <w:p>
      <w:r>
        <w:t>Both founding partners shall maintain confidentiality regarding the Company’s non-public information, trade secrets, software, source code, business methods, financial information, customer or user information, internal operations, proprietary data, and other confidential business matters. Confidentiality obligations shall survive withdrawal, resignation, incapacity, or termination of involvement with the Company.</w:t>
      </w:r>
    </w:p>
    <w:p>
      <w:pPr>
        <w:pStyle w:val="Heading2"/>
      </w:pPr>
      <w:r>
        <w:t>21. Intellectual Property</w:t>
      </w:r>
    </w:p>
    <w:p>
      <w:r>
        <w:t>All intellectual property, software code, branding, databases, designs, trademarks, logos, domains, and related business assets developed for Company purposes shall belong exclusively to the Company unless otherwise unanimously agreed in writing.</w:t>
      </w:r>
    </w:p>
    <w:p>
      <w:pPr>
        <w:pStyle w:val="Heading2"/>
      </w:pPr>
      <w:r>
        <w:t>22. Deadlock Resolution Procedure</w:t>
      </w:r>
    </w:p>
    <w:p>
      <w:r>
        <w:t>In the event the founding members reach a deadlock regarding a major Company decision requiring unanimous approval, the members shall first engage in good-faith internal discussion and reasonable efforts to resolve the disagreement cooperatively.</w:t>
        <w:br/>
        <w:br/>
        <w:t>If unresolved, the members shall observe a cooling-off period intended to reduce emotional escalation and permit further compromise efforts.</w:t>
        <w:br/>
        <w:br/>
        <w:t>If the disagreement continues, the members shall participate in non-binding mediation with a mutually agreed neutral mediator.</w:t>
        <w:br/>
        <w:br/>
        <w:t>If mediation fails and the unresolved matter materially impairs Company operations, the dispute may proceed to binding arbitration before a mutually agreed arbitrator or arbitration organization.</w:t>
        <w:br/>
        <w:br/>
        <w:t>The members acknowledge that preservation of the business relationship and operational continuity are primary objectives of this process.</w:t>
      </w:r>
    </w:p>
    <w:p>
      <w:pPr>
        <w:pStyle w:val="Heading2"/>
      </w:pPr>
      <w:r>
        <w:t>23. Dissolution</w:t>
      </w:r>
    </w:p>
    <w:p>
      <w:r>
        <w:t>Dissolution of the Company shall occur through mutual discussion, negotiation, and agreement between the founding partners unless otherwise required by applicable law. The founding partners shall make good-faith efforts to cooperatively resolve dissolution matters, including payment of debts, asset distribution, and winding down Company operations.</w:t>
      </w:r>
    </w:p>
    <w:p>
      <w:pPr>
        <w:pStyle w:val="Heading2"/>
      </w:pPr>
      <w:r>
        <w:t>24. Amendments</w:t>
      </w:r>
    </w:p>
    <w:p>
      <w:r>
        <w:t>This Operating Agreement may be amended only through unanimous written consent of the founding members or as otherwise required by law.</w:t>
      </w:r>
    </w:p>
    <w:p>
      <w:pPr>
        <w:pStyle w:val="Heading2"/>
      </w:pPr>
      <w:r>
        <w:t>Signatures</w:t>
      </w:r>
    </w:p>
    <w:p>
      <w:r>
        <w:t>Pavel Sergeyev: _______________________________    Date: ______________</w:t>
      </w:r>
    </w:p>
    <w:p>
      <w:r>
        <w:t>Slava Virnik: _________________________________    Date: 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